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hint="eastAsia" w:ascii="仿宋" w:hAnsi="仿宋"/>
          <w:color w:val="auto"/>
          <w:highlight w:val="none"/>
          <w:lang w:val="en-US"/>
        </w:rPr>
      </w:pPr>
      <w:bookmarkStart w:id="0" w:name="_GoBack"/>
      <w:bookmarkEnd w:id="0"/>
      <w:r>
        <w:rPr>
          <w:rFonts w:hint="eastAsia" w:ascii="黑体" w:hAnsi="黑体" w:eastAsia="黑体" w:cs="仿宋"/>
          <w:color w:val="auto"/>
          <w:highlight w:val="none"/>
        </w:rPr>
        <w:t>附件</w:t>
      </w:r>
      <w:r>
        <w:rPr>
          <w:rFonts w:hint="eastAsia" w:ascii="黑体" w:hAnsi="黑体" w:eastAsia="黑体" w:cs="仿宋"/>
          <w:color w:val="auto"/>
          <w:highlight w:val="none"/>
          <w:lang w:val="en-US" w:eastAsia="zh-CN"/>
        </w:rPr>
        <w:t>17</w:t>
      </w:r>
    </w:p>
    <w:p>
      <w:pPr>
        <w:widowControl/>
        <w:shd w:val="clear" w:color="auto" w:fill="FFFFFF"/>
        <w:snapToGrid w:val="0"/>
        <w:spacing w:line="590" w:lineRule="exact"/>
        <w:jc w:val="center"/>
        <w:rPr>
          <w:rFonts w:hint="eastAsia" w:ascii="方正小标宋简体" w:hAnsi="仿宋" w:eastAsia="方正小标宋简体" w:cs="仿宋"/>
          <w:sz w:val="44"/>
          <w:szCs w:val="44"/>
          <w:highlight w:val="none"/>
        </w:rPr>
      </w:pPr>
      <w:r>
        <w:rPr>
          <w:rFonts w:hint="eastAsia" w:ascii="方正小标宋简体" w:hAnsi="仿宋" w:eastAsia="方正小标宋简体" w:cs="仿宋"/>
          <w:sz w:val="44"/>
          <w:szCs w:val="44"/>
          <w:highlight w:val="none"/>
        </w:rPr>
        <w:t>关于部分检验项目的说明</w:t>
      </w:r>
    </w:p>
    <w:p>
      <w:pPr>
        <w:widowControl/>
        <w:shd w:val="clear" w:color="auto" w:fill="FFFFFF"/>
        <w:snapToGrid w:val="0"/>
        <w:spacing w:line="590" w:lineRule="exact"/>
        <w:rPr>
          <w:rFonts w:hint="eastAsia" w:ascii="仿宋" w:hAnsi="仿宋"/>
        </w:rPr>
      </w:pPr>
      <w:r>
        <w:rPr>
          <w:rFonts w:hint="eastAsia" w:ascii="仿宋" w:hAnsi="仿宋"/>
        </w:rPr>
        <w:t xml:space="preserve">    </w:t>
      </w:r>
    </w:p>
    <w:p>
      <w:pPr>
        <w:widowControl/>
        <w:shd w:val="clear" w:color="auto" w:fill="FFFFFF"/>
        <w:snapToGrid w:val="0"/>
        <w:spacing w:line="590" w:lineRule="exact"/>
        <w:ind w:firstLine="624" w:firstLineChars="200"/>
        <w:rPr>
          <w:rFonts w:hint="eastAsia" w:ascii="黑体" w:hAnsi="黑体" w:eastAsia="黑体"/>
        </w:rPr>
      </w:pPr>
      <w:r>
        <w:rPr>
          <w:rFonts w:hint="eastAsia" w:ascii="黑体" w:hAnsi="黑体" w:eastAsia="黑体"/>
          <w:lang w:eastAsia="zh-CN"/>
        </w:rPr>
        <w:t>一</w:t>
      </w:r>
      <w:r>
        <w:rPr>
          <w:rFonts w:hint="eastAsia" w:ascii="黑体" w:hAnsi="黑体" w:eastAsia="黑体"/>
        </w:rPr>
        <w:t>、</w:t>
      </w:r>
      <w:r>
        <w:rPr>
          <w:rFonts w:hint="eastAsia" w:ascii="黑体" w:hAnsi="黑体" w:eastAsia="黑体"/>
          <w:lang w:eastAsia="zh-CN"/>
        </w:rPr>
        <w:t>溴酸盐</w:t>
      </w:r>
    </w:p>
    <w:p>
      <w:pPr>
        <w:widowControl/>
        <w:shd w:val="clear" w:color="auto" w:fill="FFFFFF"/>
        <w:snapToGrid w:val="0"/>
        <w:spacing w:line="590" w:lineRule="exact"/>
        <w:ind w:firstLine="624" w:firstLineChars="200"/>
        <w:rPr>
          <w:rFonts w:hint="eastAsia" w:ascii="Times New Roman" w:hAnsi="Times New Roman" w:eastAsia="仿宋_GB2312"/>
          <w:lang w:eastAsia="zh-CN"/>
        </w:rPr>
      </w:pPr>
      <w:r>
        <w:rPr>
          <w:rFonts w:hint="eastAsia" w:ascii="Times New Roman" w:hAnsi="Times New Roman" w:eastAsia="仿宋_GB2312"/>
        </w:rPr>
        <w:t>溴酸盐受热后易分解，是矿泉水以及山泉水等多种天然水源在经过臭氧消毒后所生成的副产物。长期摄入溴酸盐超标的饮用水可能会对人体健康有一定风险。《饮用天然矿泉水》（GB 8537-2018）中规定，饮用天然矿泉水中溴酸盐的检出值应小于0.01mg/L。正常情况下，水中不含溴酸盐，但普遍含有溴化物。溴酸盐超标的主要原因有：使用臭氧消毒时，水中溴化物被氧化生成溴酸盐；或擅自调高臭氧浓度或延长臭氧灭菌时间，造成溴酸盐过量</w:t>
      </w:r>
      <w:r>
        <w:rPr>
          <w:rFonts w:hint="eastAsia" w:ascii="Times New Roman" w:hAnsi="Times New Roman" w:eastAsia="仿宋_GB2312"/>
          <w:lang w:eastAsia="zh-CN"/>
        </w:rPr>
        <w:t>。</w:t>
      </w:r>
    </w:p>
    <w:p>
      <w:pPr>
        <w:widowControl/>
        <w:shd w:val="clear" w:color="auto" w:fill="FFFFFF"/>
        <w:snapToGrid w:val="0"/>
        <w:spacing w:line="590" w:lineRule="exact"/>
        <w:ind w:firstLine="624" w:firstLineChars="200"/>
        <w:rPr>
          <w:rFonts w:hint="eastAsia" w:ascii="黑体" w:hAnsi="黑体" w:eastAsia="黑体"/>
        </w:rPr>
      </w:pPr>
      <w:r>
        <w:rPr>
          <w:rFonts w:hint="eastAsia" w:ascii="黑体" w:hAnsi="黑体" w:eastAsia="黑体"/>
          <w:lang w:eastAsia="zh-CN"/>
        </w:rPr>
        <w:t>二</w:t>
      </w:r>
      <w:r>
        <w:rPr>
          <w:rFonts w:hint="eastAsia" w:ascii="黑体" w:hAnsi="黑体" w:eastAsia="黑体"/>
        </w:rPr>
        <w:t>、</w:t>
      </w:r>
      <w:r>
        <w:rPr>
          <w:rFonts w:hint="eastAsia" w:ascii="黑体" w:hAnsi="黑体" w:eastAsia="黑体"/>
          <w:lang w:eastAsia="zh-CN"/>
        </w:rPr>
        <w:t>甜蜜素</w:t>
      </w:r>
    </w:p>
    <w:p>
      <w:pPr>
        <w:widowControl/>
        <w:shd w:val="clear" w:color="auto" w:fill="FFFFFF"/>
        <w:snapToGrid w:val="0"/>
        <w:spacing w:line="590" w:lineRule="exact"/>
        <w:ind w:firstLine="624" w:firstLineChars="200"/>
        <w:rPr>
          <w:rFonts w:hint="eastAsia" w:ascii="Times New Roman" w:hAnsi="Times New Roman" w:eastAsia="仿宋_GB2312"/>
          <w:lang w:eastAsia="zh-CN"/>
        </w:rPr>
      </w:pPr>
      <w:r>
        <w:rPr>
          <w:rFonts w:hint="eastAsia" w:ascii="Times New Roman" w:hAnsi="Times New Roman" w:eastAsia="仿宋_GB2312"/>
        </w:rPr>
        <w:t>甜蜜素，其化学名称为环己基氨基磺酸钠，是一种常用的合成甜味剂。《食品安全国家标准 食品添加剂使用标准》（GB 2760-2014）中允许使用甜味剂的酒类仅限配制酒，因此白酒中不允许使用甜蜜素。如果经常食用甜蜜素含量超标的饮料或其他食品，会因摄入过量对人体的肝脏和神经系统造成危害，特别是对代谢排毒的能力较弱的老人、孕妇、小孩危害更明显。甜蜜素超标的原因有：企业为降低生产成本，通过添加甜蜜素等甜味剂来调节产品口感，也有可能是原辅料及生产环节把关不严造成</w:t>
      </w:r>
      <w:r>
        <w:rPr>
          <w:rFonts w:hint="eastAsia" w:ascii="Times New Roman" w:hAnsi="Times New Roman" w:eastAsia="仿宋_GB2312"/>
          <w:lang w:eastAsia="zh-CN"/>
        </w:rPr>
        <w:t>。</w:t>
      </w:r>
    </w:p>
    <w:p>
      <w:pPr>
        <w:spacing w:line="600" w:lineRule="exact"/>
        <w:ind w:firstLine="624" w:firstLineChars="200"/>
        <w:rPr>
          <w:rFonts w:hint="default" w:ascii="Times New Roman" w:hAnsi="Times New Roman" w:eastAsia="黑体" w:cs="Times New Roman"/>
          <w:highlight w:val="none"/>
        </w:rPr>
      </w:pPr>
      <w:r>
        <w:rPr>
          <w:rFonts w:hint="eastAsia" w:ascii="Times New Roman" w:hAnsi="Times New Roman" w:eastAsia="黑体" w:cs="Times New Roman"/>
          <w:highlight w:val="none"/>
          <w:lang w:eastAsia="zh-CN"/>
        </w:rPr>
        <w:t>三</w:t>
      </w:r>
      <w:r>
        <w:rPr>
          <w:rFonts w:hint="default" w:ascii="Times New Roman" w:hAnsi="Times New Roman" w:eastAsia="黑体" w:cs="Times New Roman"/>
          <w:highlight w:val="none"/>
        </w:rPr>
        <w:t>、</w:t>
      </w:r>
      <w:r>
        <w:rPr>
          <w:rFonts w:hint="eastAsia" w:eastAsia="黑体" w:cs="黑体"/>
          <w:kern w:val="0"/>
          <w:sz w:val="32"/>
          <w:szCs w:val="32"/>
        </w:rPr>
        <w:t>氧乐果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Times New Roman" w:hAnsi="Times New Roman" w:eastAsia="仿宋_GB2312" w:cs="仿宋"/>
          <w:highlight w:val="none"/>
        </w:rPr>
      </w:pPr>
      <w:r>
        <w:rPr>
          <w:rFonts w:hint="eastAsia" w:ascii="Times New Roman" w:hAnsi="Times New Roman" w:eastAsia="仿宋_GB2312" w:cs="仿宋"/>
          <w:highlight w:val="none"/>
        </w:rPr>
        <w:t>氧乐果属于有机磷类杀虫剂，具有较强的内吸、触杀和胃毒作用，主要用于防治吮吸式口器害虫和植物性螨。《食品安全国家标准 食品中农药最大残留限量》（GB 2763</w:t>
      </w:r>
      <w:r>
        <w:rPr>
          <w:rFonts w:hint="eastAsia" w:ascii="Times New Roman" w:hAnsi="Times New Roman" w:eastAsia="仿宋_GB2312" w:cs="仿宋"/>
          <w:highlight w:val="none"/>
          <w:lang w:val="en-US" w:eastAsia="zh-CN"/>
        </w:rPr>
        <w:t>-</w:t>
      </w:r>
      <w:r>
        <w:rPr>
          <w:rFonts w:hint="eastAsia" w:ascii="Times New Roman" w:hAnsi="Times New Roman" w:eastAsia="仿宋_GB2312" w:cs="仿宋"/>
          <w:highlight w:val="none"/>
        </w:rPr>
        <w:t>2019）中规定，氧乐果在核果类水果中的最大残留限量为0.02mg/kg。少量的农药残留不会引起人体急性中毒，但长期食用农药残留超标的食品，对人体健康可能有一定影响。</w:t>
      </w:r>
    </w:p>
    <w:p>
      <w:pPr>
        <w:spacing w:line="600" w:lineRule="exact"/>
        <w:ind w:firstLine="624" w:firstLineChars="200"/>
        <w:rPr>
          <w:rFonts w:hint="default" w:ascii="Times New Roman" w:hAnsi="Times New Roman" w:eastAsia="黑体" w:cs="Times New Roman"/>
          <w:highlight w:val="none"/>
        </w:rPr>
      </w:pPr>
      <w:r>
        <w:rPr>
          <w:rFonts w:hint="eastAsia" w:ascii="Times New Roman" w:hAnsi="Times New Roman" w:eastAsia="黑体" w:cs="Times New Roman"/>
          <w:highlight w:val="none"/>
          <w:lang w:eastAsia="zh-CN"/>
        </w:rPr>
        <w:t>四</w:t>
      </w:r>
      <w:r>
        <w:rPr>
          <w:rFonts w:hint="default" w:ascii="Times New Roman" w:hAnsi="Times New Roman" w:eastAsia="黑体" w:cs="Times New Roman"/>
          <w:highlight w:val="none"/>
        </w:rPr>
        <w:t>、</w:t>
      </w:r>
      <w:r>
        <w:rPr>
          <w:rFonts w:hint="eastAsia" w:eastAsia="黑体" w:cs="黑体"/>
          <w:kern w:val="0"/>
          <w:sz w:val="32"/>
          <w:szCs w:val="32"/>
        </w:rPr>
        <w:t>五氯酚酸钠（以五氯酚计）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Times New Roman" w:hAnsi="Times New Roman" w:eastAsia="仿宋_GB2312" w:cs="仿宋"/>
          <w:highlight w:val="none"/>
        </w:rPr>
      </w:pPr>
      <w:r>
        <w:rPr>
          <w:rFonts w:hint="eastAsia" w:ascii="Times New Roman" w:hAnsi="Times New Roman" w:eastAsia="仿宋_GB2312" w:cs="仿宋"/>
          <w:highlight w:val="none"/>
        </w:rPr>
        <w:t>五氯酚酸钠属于有机氯农药，常被用作除草剂、杀菌剂。《食品动物中禁止使用的药品及其他化合物清单》（农业农村部公告 第250号）中规定，五氯酚酸钠为禁止使用的药物，在动物性食品中不得检出。五氯酚酸钠由于其水溶性，易造成水或土壤污染，并且能通过食物链作用进入牲畜体内，进而进入人体内。五氯酚酸钠能抑制生物代谢过程中氧化磷酸化作用，如长期摄入，可能会对人体的肝、肾及中枢神经系统造成损害。</w:t>
      </w:r>
    </w:p>
    <w:p>
      <w:pPr>
        <w:spacing w:line="600" w:lineRule="exact"/>
        <w:ind w:firstLine="624" w:firstLineChars="200"/>
        <w:rPr>
          <w:rFonts w:hint="default" w:ascii="Times New Roman" w:hAnsi="Times New Roman" w:eastAsia="黑体" w:cs="Times New Roman"/>
          <w:highlight w:val="none"/>
        </w:rPr>
      </w:pPr>
      <w:r>
        <w:rPr>
          <w:rFonts w:hint="eastAsia" w:ascii="Times New Roman" w:hAnsi="Times New Roman" w:eastAsia="黑体" w:cs="Times New Roman"/>
          <w:highlight w:val="none"/>
          <w:lang w:eastAsia="zh-CN"/>
        </w:rPr>
        <w:t>五</w:t>
      </w:r>
      <w:r>
        <w:rPr>
          <w:rFonts w:hint="default" w:ascii="Times New Roman" w:hAnsi="Times New Roman" w:eastAsia="黑体" w:cs="Times New Roman"/>
          <w:highlight w:val="none"/>
        </w:rPr>
        <w:t>、</w:t>
      </w:r>
      <w:r>
        <w:rPr>
          <w:rFonts w:hint="eastAsia" w:eastAsia="黑体" w:cs="黑体"/>
          <w:kern w:val="0"/>
          <w:sz w:val="32"/>
          <w:szCs w:val="32"/>
        </w:rPr>
        <w:t>灭蝇胺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Times New Roman" w:hAnsi="Times New Roman" w:eastAsia="仿宋_GB2312" w:cs="仿宋"/>
          <w:highlight w:val="none"/>
        </w:rPr>
      </w:pPr>
      <w:r>
        <w:rPr>
          <w:rFonts w:hint="eastAsia" w:ascii="Times New Roman" w:hAnsi="Times New Roman" w:eastAsia="仿宋_GB2312" w:cs="仿宋"/>
          <w:highlight w:val="none"/>
        </w:rPr>
        <w:t>灭蝇胺是一种触杀、胃毒和内吸传导作用的昆虫生长调节剂类杀虫剂。主要用于防治双翅目昆虫病虫害。《食品安全国家标准 食品中农药最大残留限量》（GB 2763</w:t>
      </w:r>
      <w:r>
        <w:rPr>
          <w:rFonts w:hint="eastAsia" w:ascii="Times New Roman" w:hAnsi="Times New Roman" w:eastAsia="仿宋_GB2312" w:cs="仿宋"/>
          <w:highlight w:val="none"/>
          <w:lang w:val="en-US" w:eastAsia="zh-CN"/>
        </w:rPr>
        <w:t>-</w:t>
      </w:r>
      <w:r>
        <w:rPr>
          <w:rFonts w:hint="eastAsia" w:ascii="Times New Roman" w:hAnsi="Times New Roman" w:eastAsia="仿宋_GB2312" w:cs="仿宋"/>
          <w:highlight w:val="none"/>
        </w:rPr>
        <w:t>2019）中规定，豇豆中灭蝇胺残留最大限量值不得超过0.5mg/kg。灭蝇胺对眼睛、皮肤有刺激作用，短期内大量接触可引起急性中毒，产生恶心、呕吐、眩晕等健康危害。</w:t>
      </w:r>
    </w:p>
    <w:p>
      <w:pPr>
        <w:spacing w:line="600" w:lineRule="exact"/>
        <w:ind w:firstLine="624" w:firstLineChars="200"/>
        <w:rPr>
          <w:rFonts w:hint="default" w:ascii="Times New Roman" w:hAnsi="Times New Roman" w:eastAsia="黑体" w:cs="Times New Roman"/>
          <w:highlight w:val="none"/>
        </w:rPr>
      </w:pPr>
      <w:r>
        <w:rPr>
          <w:rFonts w:hint="eastAsia" w:ascii="Times New Roman" w:hAnsi="Times New Roman" w:eastAsia="黑体" w:cs="Times New Roman"/>
          <w:highlight w:val="none"/>
          <w:lang w:eastAsia="zh-CN"/>
        </w:rPr>
        <w:t>六</w:t>
      </w:r>
      <w:r>
        <w:rPr>
          <w:rFonts w:hint="default" w:ascii="Times New Roman" w:hAnsi="Times New Roman" w:eastAsia="黑体" w:cs="Times New Roman"/>
          <w:highlight w:val="none"/>
        </w:rPr>
        <w:t>、</w:t>
      </w:r>
      <w:r>
        <w:rPr>
          <w:rFonts w:hint="eastAsia" w:eastAsia="黑体" w:cs="黑体"/>
          <w:kern w:val="0"/>
          <w:sz w:val="32"/>
          <w:szCs w:val="32"/>
        </w:rPr>
        <w:t>氯霉素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Times New Roman" w:hAnsi="Times New Roman" w:eastAsia="仿宋_GB2312" w:cs="仿宋"/>
          <w:highlight w:val="none"/>
        </w:rPr>
      </w:pPr>
      <w:r>
        <w:rPr>
          <w:rFonts w:hint="eastAsia" w:ascii="Times New Roman" w:hAnsi="Times New Roman" w:eastAsia="仿宋_GB2312" w:cs="仿宋"/>
          <w:highlight w:val="none"/>
        </w:rPr>
        <w:t>氯霉素一种杀菌剂，也是高效广谱的抗生素，对革兰氏阳性菌和革兰氏阴性菌均有较好的抑制作用。《食品中可能违法添加的非食用物质和易滥用的食品添加剂品种名单（第五批）》（整顿办函〔2011〕1号）中将氯霉素列为在肉制品中可能违法添加的非食用物质，在肉制品中不得检出。肉制品中检出氯霉素的原因，可能是生产企业采购了含有氯霉素的原料肉；也可能是生产过程中卫生控制和出厂检验不严格。长期微量摄入氯霉素,会使人体肠道正常菌群失调，且对人体的造血系统、消化系统具有严重的毒害性。</w:t>
      </w:r>
    </w:p>
    <w:p>
      <w:pPr>
        <w:spacing w:line="600" w:lineRule="exact"/>
        <w:ind w:firstLine="624" w:firstLineChars="200"/>
        <w:rPr>
          <w:rFonts w:hint="default" w:ascii="Times New Roman" w:hAnsi="Times New Roman" w:eastAsia="黑体" w:cs="Times New Roman"/>
          <w:color w:val="auto"/>
          <w:highlight w:val="none"/>
        </w:rPr>
      </w:pPr>
      <w:r>
        <w:rPr>
          <w:rFonts w:hint="eastAsia" w:ascii="Times New Roman" w:hAnsi="Times New Roman" w:eastAsia="黑体" w:cs="Times New Roman"/>
          <w:color w:val="auto"/>
          <w:highlight w:val="none"/>
          <w:lang w:eastAsia="zh-CN"/>
        </w:rPr>
        <w:t>七</w:t>
      </w:r>
      <w:r>
        <w:rPr>
          <w:rFonts w:hint="default" w:ascii="Times New Roman" w:hAnsi="Times New Roman" w:eastAsia="黑体" w:cs="Times New Roman"/>
          <w:color w:val="auto"/>
          <w:highlight w:val="none"/>
        </w:rPr>
        <w:t>、</w:t>
      </w:r>
      <w:r>
        <w:rPr>
          <w:rFonts w:hint="eastAsia" w:ascii="黑体" w:hAnsi="黑体" w:eastAsia="黑体"/>
          <w:lang w:eastAsia="zh-CN"/>
        </w:rPr>
        <w:t>菌落总数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菌落总数测定是用来判定食品被细菌污染的程度及卫生质量，它反映食品在生产过程中是否符合卫生要求，以便对被检样品做出适当的卫生学评价。菌落总数的多少在一定程度上标志着食品卫生质量的优劣。菌落总数是指示性微生物，主要反映了产品的卫生学状况及受致病菌污染的可能性。</w:t>
      </w:r>
    </w:p>
    <w:p>
      <w:pPr>
        <w:spacing w:line="600" w:lineRule="exact"/>
        <w:ind w:firstLine="624" w:firstLineChars="200"/>
        <w:rPr>
          <w:rFonts w:hint="default" w:ascii="Times New Roman" w:hAnsi="Times New Roman" w:eastAsia="黑体" w:cs="Times New Roman"/>
          <w:color w:val="auto"/>
          <w:highlight w:val="none"/>
        </w:rPr>
      </w:pPr>
      <w:r>
        <w:rPr>
          <w:rFonts w:hint="eastAsia" w:ascii="Times New Roman" w:hAnsi="Times New Roman" w:eastAsia="黑体" w:cs="Times New Roman"/>
          <w:color w:val="auto"/>
          <w:highlight w:val="none"/>
          <w:lang w:eastAsia="zh-CN"/>
        </w:rPr>
        <w:t>八</w:t>
      </w:r>
      <w:r>
        <w:rPr>
          <w:rFonts w:hint="default" w:ascii="Times New Roman" w:hAnsi="Times New Roman" w:eastAsia="黑体" w:cs="Times New Roman"/>
          <w:color w:val="auto"/>
          <w:highlight w:val="none"/>
        </w:rPr>
        <w:t>、</w:t>
      </w:r>
      <w:r>
        <w:rPr>
          <w:rFonts w:hint="eastAsia" w:ascii="黑体" w:hAnsi="黑体" w:eastAsia="黑体"/>
          <w:lang w:eastAsia="zh-CN"/>
        </w:rPr>
        <w:t>山梨酸及其钾盐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山梨酸及其钾盐为酸性防腐剂，具有较好的抑菌效果，对霉菌、酵母菌和好气性细菌的生长发育均有抑制作用。《食品安全国家标准 食品添加剂使用标准》（GB 2760</w:t>
      </w:r>
      <w:r>
        <w:rPr>
          <w:rFonts w:hint="eastAsia" w:ascii="Times New Roman" w:hAnsi="Times New Roman" w:eastAsia="仿宋_GB2312" w:cs="Times New Roman"/>
          <w:color w:val="auto"/>
          <w:highlight w:val="none"/>
          <w:lang w:val="en-US" w:eastAsia="zh-CN"/>
        </w:rPr>
        <w:t>-</w:t>
      </w:r>
      <w:r>
        <w:rPr>
          <w:rFonts w:hint="eastAsia" w:ascii="Times New Roman" w:hAnsi="Times New Roman" w:eastAsia="仿宋_GB2312" w:cs="Times New Roman"/>
          <w:color w:val="auto"/>
          <w:highlight w:val="none"/>
        </w:rPr>
        <w:t>2014）中规定，山梨酸及其钾盐（以山梨酸计）在腌腊肉制品中不得使用。腌腊肉制品中山梨酸及其钾盐超标的原因，可能是企业为增加产品保质期，或者为弥补产品生产中卫生条件不佳而超限量使用，或者未准确计量。山梨酸及其钾盐可以被人体的代谢系统吸收而迅速分解为二氧化碳和水，在体内无残留，但如果长期食用山梨酸超标的食品，可能会对人体的骨骼生长、肾脏、肝脏健康造成一定影响。</w:t>
      </w:r>
    </w:p>
    <w:p>
      <w:pPr>
        <w:spacing w:line="600" w:lineRule="exact"/>
        <w:ind w:firstLine="624" w:firstLineChars="200"/>
        <w:rPr>
          <w:rFonts w:hint="default" w:ascii="Times New Roman" w:hAnsi="Times New Roman" w:eastAsia="黑体" w:cs="Times New Roman"/>
          <w:color w:val="auto"/>
          <w:highlight w:val="none"/>
        </w:rPr>
      </w:pPr>
      <w:r>
        <w:rPr>
          <w:rFonts w:hint="eastAsia" w:ascii="Times New Roman" w:hAnsi="Times New Roman" w:eastAsia="黑体" w:cs="Times New Roman"/>
          <w:color w:val="auto"/>
          <w:highlight w:val="none"/>
          <w:lang w:eastAsia="zh-CN"/>
        </w:rPr>
        <w:t>九</w:t>
      </w:r>
      <w:r>
        <w:rPr>
          <w:rFonts w:hint="default" w:ascii="Times New Roman" w:hAnsi="Times New Roman" w:eastAsia="黑体" w:cs="Times New Roman"/>
          <w:color w:val="auto"/>
          <w:highlight w:val="none"/>
        </w:rPr>
        <w:t>、</w:t>
      </w:r>
      <w:r>
        <w:rPr>
          <w:rFonts w:hint="eastAsia" w:ascii="黑体" w:hAnsi="黑体" w:eastAsia="黑体"/>
          <w:lang w:eastAsia="zh-CN"/>
        </w:rPr>
        <w:t>大肠菌群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pPr>
      <w:r>
        <w:rPr>
          <w:rFonts w:hint="eastAsia" w:ascii="Times New Roman" w:hAnsi="Times New Roman" w:eastAsia="仿宋_GB2312" w:cs="Times New Roman"/>
          <w:color w:val="auto"/>
          <w:highlight w:val="none"/>
        </w:rPr>
        <w:t>大肠菌群是国内外通用的食品污染常用指示菌之一。食品中大肠菌群不合格，说明食品存在卫生质量缺陷，提示该食品中存在被肠道致病菌污染的可能，对人体健康具有潜在危害。造成大肠菌群超标的原因，可能是产品的加工原料、包装材料受污染，或在生产过程中产品受到人员、工具器具等生产设备、环境污染、有灭菌工艺的产品灭菌不彻底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dobeHeitiStd-Regular">
    <w:altName w:val="宋体"/>
    <w:panose1 w:val="00000000000000000000"/>
    <w:charset w:val="86"/>
    <w:family w:val="auto"/>
    <w:pitch w:val="default"/>
    <w:sig w:usb0="00000000" w:usb1="00000000" w:usb2="00000000" w:usb3="00000000" w:csb0="00040000" w:csb1="00000000"/>
  </w:font>
  <w:font w:name="E-BZ+ZFKCI1-1">
    <w:altName w:val="宋体"/>
    <w:panose1 w:val="00000000000000000000"/>
    <w:charset w:val="86"/>
    <w:family w:val="auto"/>
    <w:pitch w:val="default"/>
    <w:sig w:usb0="00000000" w:usb1="0000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E-BZ+ZFKCI1-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FZHTK--GBK1-0">
    <w:altName w:val="宋体"/>
    <w:panose1 w:val="00000000000000000000"/>
    <w:charset w:val="86"/>
    <w:family w:val="auto"/>
    <w:pitch w:val="default"/>
    <w:sig w:usb0="00000000" w:usb1="00000000" w:usb2="00000000" w:usb3="00000000" w:csb0="00040000" w:csb1="00000000"/>
  </w:font>
  <w:font w:name="FZKTJW--GB1-0">
    <w:altName w:val="宋体"/>
    <w:panose1 w:val="00000000000000000000"/>
    <w:charset w:val="86"/>
    <w:family w:val="auto"/>
    <w:pitch w:val="default"/>
    <w:sig w:usb0="00000000" w:usb1="00000000" w:usb2="00000000" w:usb3="00000000" w:csb0="00040000" w:csb1="00000000"/>
  </w:font>
  <w:font w:name="FZHTJW--GB1-0">
    <w:altName w:val="宋体"/>
    <w:panose1 w:val="00000000000000000000"/>
    <w:charset w:val="86"/>
    <w:family w:val="auto"/>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8" w:usb3="00000000" w:csb0="000001FF" w:csb1="00000000"/>
  </w:font>
  <w:font w:name="楷体_GB2312">
    <w:altName w:val="楷体"/>
    <w:panose1 w:val="02010609030101010101"/>
    <w:charset w:val="86"/>
    <w:family w:val="modern"/>
    <w:pitch w:val="default"/>
    <w:sig w:usb0="00000000" w:usb1="00000000" w:usb2="00000010" w:usb3="00000000" w:csb0="00040000" w:csb1="00000000"/>
  </w:font>
  <w:font w:name="方正黑体简体">
    <w:altName w:val="Arial Unicode MS"/>
    <w:panose1 w:val="02010601030101010101"/>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Arial">
    <w:panose1 w:val="020B0604020202020204"/>
    <w:charset w:val="00"/>
    <w:family w:val="swiss"/>
    <w:pitch w:val="default"/>
    <w:sig w:usb0="E0002AFF" w:usb1="C0007843" w:usb2="00000009" w:usb3="00000000" w:csb0="400001FF" w:csb1="FFFF0000"/>
  </w:font>
  <w:font w:name="Batang">
    <w:panose1 w:val="02030600000101010101"/>
    <w:charset w:val="81"/>
    <w:family w:val="roman"/>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 w:name="DLF-32771-0-294221330+ZLRCrb-43">
    <w:altName w:val="宋体"/>
    <w:panose1 w:val="00000000000000000000"/>
    <w:charset w:val="86"/>
    <w:family w:val="auto"/>
    <w:pitch w:val="default"/>
    <w:sig w:usb0="00000000" w:usb1="00000000" w:usb2="00000000" w:usb3="00000000" w:csb0="00040000" w:csb1="00000000"/>
  </w:font>
  <w:font w:name="AdobeHeitiStd-Regular">
    <w:altName w:val="Segoe Print"/>
    <w:panose1 w:val="00000000000000000000"/>
    <w:charset w:val="00"/>
    <w:family w:val="auto"/>
    <w:pitch w:val="default"/>
    <w:sig w:usb0="00000000" w:usb1="00000000" w:usb2="00000000" w:usb3="00000000" w:csb0="00000000" w:csb1="00000000"/>
  </w:font>
  <w:font w:name="FZHTJW--GB1-0">
    <w:altName w:val="Segoe Print"/>
    <w:panose1 w:val="00000000000000000000"/>
    <w:charset w:val="00"/>
    <w:family w:val="auto"/>
    <w:pitch w:val="default"/>
    <w:sig w:usb0="00000000" w:usb1="00000000" w:usb2="00000000" w:usb3="00000000" w:csb0="00000000" w:csb1="00000000"/>
  </w:font>
  <w:font w:name="DY1+ZHBGhf-1">
    <w:altName w:val="宋体"/>
    <w:panose1 w:val="00000000000000000000"/>
    <w:charset w:val="86"/>
    <w:family w:val="auto"/>
    <w:pitch w:val="default"/>
    <w:sig w:usb0="00000000" w:usb1="00000000" w:usb2="00000000" w:usb3="00000000" w:csb0="00040000" w:csb1="00000000"/>
  </w:font>
  <w:font w:name="DY297+ZHBGii-646">
    <w:altName w:val="宋体"/>
    <w:panose1 w:val="00000000000000000000"/>
    <w:charset w:val="86"/>
    <w:family w:val="auto"/>
    <w:pitch w:val="default"/>
    <w:sig w:usb0="00000000" w:usb1="00000000" w:usb2="00000000" w:usb3="00000000" w:csb0="00040000" w:csb1="00000000"/>
  </w:font>
  <w:font w:name="DY7+ZHBGhg-8">
    <w:altName w:val="宋体"/>
    <w:panose1 w:val="00000000000000000000"/>
    <w:charset w:val="86"/>
    <w:family w:val="auto"/>
    <w:pitch w:val="default"/>
    <w:sig w:usb0="00000000" w:usb1="00000000" w:usb2="00000000" w:usb3="00000000" w:csb0="00040000" w:csb1="00000000"/>
  </w:font>
  <w:font w:name="DY3+ZHBGhf-3">
    <w:altName w:val="宋体"/>
    <w:panose1 w:val="00000000000000000000"/>
    <w:charset w:val="86"/>
    <w:family w:val="auto"/>
    <w:pitch w:val="default"/>
    <w:sig w:usb0="00000000" w:usb1="00000000" w:usb2="00000000" w:usb3="00000000" w:csb0="00040000" w:csb1="00000000"/>
  </w:font>
  <w:font w:name="B9+楷体">
    <w:altName w:val="宋体"/>
    <w:panose1 w:val="00000000000000000000"/>
    <w:charset w:val="86"/>
    <w:family w:val="auto"/>
    <w:pitch w:val="default"/>
    <w:sig w:usb0="00000000" w:usb1="00000000" w:usb2="00000000" w:usb3="00000000" w:csb0="00040000" w:csb1="00000000"/>
  </w:font>
  <w:font w:name="B5+CAJSymbolA">
    <w:altName w:val="宋体"/>
    <w:panose1 w:val="00000000000000000000"/>
    <w:charset w:val="86"/>
    <w:family w:val="auto"/>
    <w:pitch w:val="default"/>
    <w:sig w:usb0="00000000" w:usb1="00000000" w:usb2="00000000" w:usb3="00000000" w:csb0="00040000" w:csb1="00000000"/>
  </w:font>
  <w:font w:name="E-HZ+ZECJcD-2">
    <w:altName w:val="宋体"/>
    <w:panose1 w:val="00000000000000000000"/>
    <w:charset w:val="86"/>
    <w:family w:val="auto"/>
    <w:pitch w:val="default"/>
    <w:sig w:usb0="00000000" w:usb1="00000000" w:usb2="00000000" w:usb3="00000000" w:csb0="00040000" w:csb1="00000000"/>
  </w:font>
  <w:font w:name="zuoyeFont_mathFont">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10006FF" w:usb1="4000205B" w:usb2="00000010" w:usb3="00000000" w:csb0="2000019F" w:csb1="00000000"/>
  </w:font>
  <w:font w:name="MS Mincho">
    <w:panose1 w:val="02020609040205080304"/>
    <w:charset w:val="80"/>
    <w:family w:val="modern"/>
    <w:pitch w:val="default"/>
    <w:sig w:usb0="E00002FF" w:usb1="6AC7FDFB" w:usb2="00000012" w:usb3="00000000" w:csb0="4002009F" w:csb1="DFD70000"/>
  </w:font>
  <w:font w:name="仿宋_GB2312">
    <w:panose1 w:val="02010609030101010101"/>
    <w:charset w:val="86"/>
    <w:family w:val="auto"/>
    <w:pitch w:val="default"/>
    <w:sig w:usb0="00000001" w:usb1="080E0000" w:usb2="00000000" w:usb3="00000000" w:csb0="00040000" w:csb1="00000000"/>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4D369B"/>
    <w:rsid w:val="26153BC5"/>
    <w:rsid w:val="5D0570A9"/>
    <w:rsid w:val="6D4D369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kern w:val="2"/>
      <w:sz w:val="32"/>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Times New Roman" w:hAnsi="Times New Roman" w:eastAsia="宋体" w:cs="Times New Roman"/>
      <w:sz w:val="18"/>
      <w:szCs w:val="18"/>
    </w:rPr>
  </w:style>
  <w:style w:type="character" w:styleId="4">
    <w:name w:val="page number"/>
    <w:basedOn w:val="3"/>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2020-05-29T00:38:00Z</dcterms:created>
  <dc:creator>罗钰珊</dc:creator>
  <cp:lastModifiedBy>罗钰珊</cp:lastModifiedBy>
  <dcterms:modified xsi:type="dcterms:W3CDTF">2020-05-29T00:39:05Z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