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Arial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spacing w:val="-12"/>
          <w:sz w:val="44"/>
          <w:szCs w:val="44"/>
        </w:rPr>
      </w:pPr>
      <w:bookmarkStart w:id="0" w:name="_Toc24614993"/>
      <w:r>
        <w:rPr>
          <w:rFonts w:hint="eastAsia" w:ascii="华文中宋" w:hAnsi="华文中宋" w:eastAsia="华文中宋"/>
          <w:spacing w:val="-12"/>
          <w:sz w:val="44"/>
          <w:szCs w:val="44"/>
        </w:rPr>
        <w:t>深圳市食品抽检类型介绍</w:t>
      </w:r>
      <w:bookmarkEnd w:id="0"/>
    </w:p>
    <w:p/>
    <w:p>
      <w:pPr>
        <w:pStyle w:val="6"/>
        <w:bidi w:val="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日常监督抽检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：2020年度抽检计划的重要组成部分，对全品类食品进行覆盖式的抽检，以突出发现问题为导向，兼顾客观评价及靶向性要求，在生产、流通、餐饮三个环节对重点业态进行有效覆盖，对非重点业态进行比例覆盖，是对外公示问题发现率的主要来源，针对问题产品进行重点监管</w:t>
      </w:r>
      <w:bookmarkStart w:id="1" w:name="_GoBack"/>
      <w:bookmarkEnd w:id="1"/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评价性抽检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：旨在客观评价深圳地区食品安全的整体状况，覆盖全品类食品及各类食品生产经营业态，通过常年监测反应深圳食品安全状况变化，合理提供深圳食品安全水平客观抽检合格率。</w:t>
      </w:r>
    </w:p>
    <w:p>
      <w:pPr>
        <w:pStyle w:val="6"/>
        <w:bidi w:val="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专项抽检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：在日常监督抽检的基础上，针对社会热点、突出问题领域、上级文件及监管需要针对某类食品或某类经营主体开展的抽检，具有较强的针对性。</w:t>
      </w:r>
    </w:p>
    <w:p>
      <w:pPr>
        <w:pStyle w:val="6"/>
        <w:bidi w:val="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风险监测：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 w:bidi="ar-SA"/>
        </w:rPr>
        <w:t>对检测标准或判定标准缺失的食品开展的风险监测类抽检，旨在发现问题隐患，督促企业排查风险，具前瞻性。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37CAB"/>
    <w:rsid w:val="0FC338BA"/>
    <w:rsid w:val="124C4FAD"/>
    <w:rsid w:val="1BEB0617"/>
    <w:rsid w:val="24F916DF"/>
    <w:rsid w:val="2C842591"/>
    <w:rsid w:val="30A435FE"/>
    <w:rsid w:val="31C20FE1"/>
    <w:rsid w:val="3FC8280D"/>
    <w:rsid w:val="43950EE2"/>
    <w:rsid w:val="49034A1A"/>
    <w:rsid w:val="638777E6"/>
    <w:rsid w:val="68F92391"/>
    <w:rsid w:val="6CA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/>
      <w:ind w:left="420" w:leftChars="200" w:firstLine="420"/>
    </w:pPr>
    <w:rPr>
      <w:kern w:val="2"/>
    </w:rPr>
  </w:style>
  <w:style w:type="paragraph" w:styleId="3">
    <w:name w:val="Body Text Indent"/>
    <w:basedOn w:val="1"/>
    <w:qFormat/>
    <w:uiPriority w:val="0"/>
    <w:pPr>
      <w:spacing w:before="120" w:after="120"/>
      <w:ind w:firstLine="480" w:firstLineChars="200"/>
    </w:pPr>
    <w:rPr>
      <w:kern w:val="0"/>
    </w:rPr>
  </w:style>
  <w:style w:type="paragraph" w:customStyle="1" w:styleId="6">
    <w:name w:val="正文2"/>
    <w:basedOn w:val="7"/>
    <w:qFormat/>
    <w:uiPriority w:val="0"/>
    <w:pPr>
      <w:spacing w:line="560" w:lineRule="exact"/>
      <w:ind w:firstLine="602" w:firstLineChars="200"/>
      <w:jc w:val="both"/>
    </w:pPr>
    <w:rPr>
      <w:rFonts w:ascii="Times New Roman" w:hAnsi="Times New Roman" w:eastAsia="仿宋"/>
      <w:sz w:val="32"/>
    </w:rPr>
  </w:style>
  <w:style w:type="paragraph" w:customStyle="1" w:styleId="7">
    <w:name w:val="正文1"/>
    <w:basedOn w:val="1"/>
    <w:qFormat/>
    <w:uiPriority w:val="0"/>
    <w:pPr>
      <w:spacing w:line="560" w:lineRule="exact"/>
      <w:ind w:firstLine="640" w:firstLineChars="200"/>
    </w:pPr>
    <w:rPr>
      <w:rFonts w:ascii="仿宋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2020-07-14T07:47:00Z</dcterms:created>
  <dc:creator>Administrator</dc:creator>
  <cp:lastModifiedBy>李俊妮</cp:lastModifiedBy>
  <dcterms:modified xsi:type="dcterms:W3CDTF">2020-07-14T13:43:30Z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